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1F" w:rsidRDefault="0087651F" w:rsidP="00AB4E55">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P 9</w:t>
      </w:r>
    </w:p>
    <w:p w:rsidR="00CD124D" w:rsidRDefault="004A7EC5" w:rsidP="00AB4E55">
      <w:pPr>
        <w:spacing w:after="0" w:line="240" w:lineRule="auto"/>
        <w:jc w:val="both"/>
        <w:rPr>
          <w:rFonts w:ascii="Times New Roman" w:eastAsia="Times New Roman" w:hAnsi="Times New Roman" w:cs="Times New Roman"/>
          <w:b/>
          <w:bCs/>
        </w:rPr>
      </w:pPr>
      <w:r w:rsidRPr="00AB4E55">
        <w:rPr>
          <w:rFonts w:ascii="Times New Roman" w:eastAsia="Times New Roman" w:hAnsi="Times New Roman" w:cs="Times New Roman"/>
          <w:b/>
          <w:bCs/>
        </w:rPr>
        <w:t xml:space="preserve">ACEITE DE ROSA MOSQUETA SIN TOCOFEROLES NO </w:t>
      </w:r>
      <w:r w:rsidR="00A00692">
        <w:rPr>
          <w:rFonts w:ascii="Times New Roman" w:eastAsia="Times New Roman" w:hAnsi="Times New Roman" w:cs="Times New Roman"/>
          <w:b/>
          <w:bCs/>
        </w:rPr>
        <w:t>PREVIENE LAS ALTERACIONES METABÓ</w:t>
      </w:r>
      <w:r w:rsidRPr="00AB4E55">
        <w:rPr>
          <w:rFonts w:ascii="Times New Roman" w:eastAsia="Times New Roman" w:hAnsi="Times New Roman" w:cs="Times New Roman"/>
          <w:b/>
          <w:bCs/>
        </w:rPr>
        <w:t>LICAS INDUCIDAS POR DIETA AL</w:t>
      </w:r>
      <w:r w:rsidR="00A00692">
        <w:rPr>
          <w:rFonts w:ascii="Times New Roman" w:eastAsia="Times New Roman" w:hAnsi="Times New Roman" w:cs="Times New Roman"/>
          <w:b/>
          <w:bCs/>
        </w:rPr>
        <w:t>TA EN GRASA EN UN MODELO MURINO</w:t>
      </w:r>
    </w:p>
    <w:p w:rsidR="00CD124D" w:rsidRDefault="004A7EC5" w:rsidP="00AB4E55">
      <w:pPr>
        <w:spacing w:after="0" w:line="240" w:lineRule="auto"/>
        <w:jc w:val="both"/>
        <w:rPr>
          <w:rFonts w:ascii="Times New Roman" w:eastAsia="Times New Roman" w:hAnsi="Times New Roman" w:cs="Times New Roman"/>
          <w:vertAlign w:val="superscript"/>
        </w:rPr>
      </w:pPr>
      <w:proofErr w:type="spellStart"/>
      <w:r w:rsidRPr="00AB4E55">
        <w:rPr>
          <w:rFonts w:ascii="Times New Roman" w:eastAsia="Times New Roman" w:hAnsi="Times New Roman" w:cs="Times New Roman"/>
        </w:rPr>
        <w:t>Stefanie</w:t>
      </w:r>
      <w:proofErr w:type="spellEnd"/>
      <w:r w:rsidR="00AB4E55">
        <w:rPr>
          <w:rFonts w:ascii="Times New Roman" w:eastAsia="Times New Roman" w:hAnsi="Times New Roman" w:cs="Times New Roman"/>
        </w:rPr>
        <w:t xml:space="preserve"> </w:t>
      </w:r>
      <w:proofErr w:type="spellStart"/>
      <w:r w:rsidRPr="00AB4E55">
        <w:rPr>
          <w:rFonts w:ascii="Times New Roman" w:eastAsia="Times New Roman" w:hAnsi="Times New Roman" w:cs="Times New Roman"/>
        </w:rPr>
        <w:t>Chalmers</w:t>
      </w:r>
      <w:proofErr w:type="spellEnd"/>
      <w:r w:rsidRPr="00AB4E55">
        <w:rPr>
          <w:rFonts w:ascii="Times New Roman" w:eastAsia="Times New Roman" w:hAnsi="Times New Roman" w:cs="Times New Roman"/>
        </w:rPr>
        <w:t xml:space="preserve"> Espinoza</w:t>
      </w:r>
      <w:r w:rsidRPr="00AB4E55">
        <w:rPr>
          <w:rFonts w:ascii="Times New Roman" w:eastAsia="Times New Roman" w:hAnsi="Times New Roman" w:cs="Times New Roman"/>
          <w:vertAlign w:val="superscript"/>
        </w:rPr>
        <w:t>1</w:t>
      </w:r>
      <w:r w:rsidR="00CD124D">
        <w:rPr>
          <w:rFonts w:ascii="Times New Roman" w:eastAsia="Times New Roman" w:hAnsi="Times New Roman" w:cs="Times New Roman"/>
        </w:rPr>
        <w:t>, Daniel González Mañán</w:t>
      </w:r>
      <w:r w:rsidRPr="00AB4E55">
        <w:rPr>
          <w:rFonts w:ascii="Times New Roman" w:eastAsia="Times New Roman" w:hAnsi="Times New Roman" w:cs="Times New Roman"/>
          <w:vertAlign w:val="superscript"/>
        </w:rPr>
        <w:t>2</w:t>
      </w:r>
      <w:r w:rsidRPr="00AB4E55">
        <w:rPr>
          <w:rFonts w:ascii="Times New Roman" w:eastAsia="Times New Roman" w:hAnsi="Times New Roman" w:cs="Times New Roman"/>
        </w:rPr>
        <w:t>, Camila Dossi Muñoz</w:t>
      </w:r>
      <w:r w:rsidRPr="00AB4E55">
        <w:rPr>
          <w:rFonts w:ascii="Times New Roman" w:eastAsia="Times New Roman" w:hAnsi="Times New Roman" w:cs="Times New Roman"/>
          <w:vertAlign w:val="superscript"/>
        </w:rPr>
        <w:t>3</w:t>
      </w:r>
      <w:r w:rsidRPr="00AB4E55">
        <w:rPr>
          <w:rFonts w:ascii="Times New Roman" w:eastAsia="Times New Roman" w:hAnsi="Times New Roman" w:cs="Times New Roman"/>
        </w:rPr>
        <w:t>, Ruth Sepulveda</w:t>
      </w:r>
      <w:r w:rsidRPr="00AB4E55">
        <w:rPr>
          <w:rFonts w:ascii="Times New Roman" w:eastAsia="Times New Roman" w:hAnsi="Times New Roman" w:cs="Times New Roman"/>
          <w:vertAlign w:val="superscript"/>
        </w:rPr>
        <w:t>3</w:t>
      </w:r>
      <w:r w:rsidRPr="00AB4E55">
        <w:rPr>
          <w:rFonts w:ascii="Times New Roman" w:eastAsia="Times New Roman" w:hAnsi="Times New Roman" w:cs="Times New Roman"/>
        </w:rPr>
        <w:t>, David Silva Ancahuail</w:t>
      </w:r>
      <w:r w:rsidRPr="00AB4E55">
        <w:rPr>
          <w:rFonts w:ascii="Times New Roman" w:eastAsia="Times New Roman" w:hAnsi="Times New Roman" w:cs="Times New Roman"/>
          <w:vertAlign w:val="superscript"/>
        </w:rPr>
        <w:t>3</w:t>
      </w:r>
      <w:r w:rsidRPr="00AB4E55">
        <w:rPr>
          <w:rFonts w:ascii="Times New Roman" w:eastAsia="Times New Roman" w:hAnsi="Times New Roman" w:cs="Times New Roman"/>
        </w:rPr>
        <w:t>, G</w:t>
      </w:r>
      <w:r w:rsidR="00CD124D">
        <w:rPr>
          <w:rFonts w:ascii="Times New Roman" w:eastAsia="Times New Roman" w:hAnsi="Times New Roman" w:cs="Times New Roman"/>
        </w:rPr>
        <w:t>ladys Tapia Opazo</w:t>
      </w:r>
      <w:r w:rsidRPr="00AB4E55">
        <w:rPr>
          <w:rFonts w:ascii="Times New Roman" w:eastAsia="Times New Roman" w:hAnsi="Times New Roman" w:cs="Times New Roman"/>
          <w:vertAlign w:val="superscript"/>
        </w:rPr>
        <w:t>3</w:t>
      </w:r>
    </w:p>
    <w:p w:rsidR="00AB4E55" w:rsidRDefault="004A7EC5" w:rsidP="00AB4E55">
      <w:pPr>
        <w:spacing w:after="0" w:line="240" w:lineRule="auto"/>
        <w:jc w:val="both"/>
        <w:rPr>
          <w:rFonts w:ascii="Times New Roman" w:eastAsia="Times New Roman" w:hAnsi="Times New Roman" w:cs="Times New Roman"/>
        </w:rPr>
      </w:pPr>
      <w:r w:rsidRPr="00AB4E55">
        <w:rPr>
          <w:rFonts w:ascii="Times New Roman" w:eastAsia="Times New Roman" w:hAnsi="Times New Roman" w:cs="Times New Roman"/>
          <w:vertAlign w:val="superscript"/>
        </w:rPr>
        <w:t>1</w:t>
      </w:r>
      <w:r w:rsidRPr="00AB4E55">
        <w:rPr>
          <w:rFonts w:ascii="Times New Roman" w:eastAsia="Times New Roman" w:hAnsi="Times New Roman" w:cs="Times New Roman"/>
        </w:rPr>
        <w:t>Facultad de Medicina, Universi</w:t>
      </w:r>
      <w:r w:rsidR="00CD124D">
        <w:rPr>
          <w:rFonts w:ascii="Times New Roman" w:eastAsia="Times New Roman" w:hAnsi="Times New Roman" w:cs="Times New Roman"/>
        </w:rPr>
        <w:t xml:space="preserve">dad Andrés Bello, Viña del Mar </w:t>
      </w:r>
      <w:r w:rsidRPr="00AB4E55">
        <w:rPr>
          <w:rFonts w:ascii="Times New Roman" w:eastAsia="Times New Roman" w:hAnsi="Times New Roman" w:cs="Times New Roman"/>
        </w:rPr>
        <w:t>y Programa de Farmacología Molecular y Clínica, Instituto de Ciencias Biomédicas, Facultad de Medicina, Universidad de Chile, Santiago,</w:t>
      </w:r>
      <w:r w:rsidR="00CD124D">
        <w:rPr>
          <w:rFonts w:ascii="Times New Roman" w:eastAsia="Times New Roman" w:hAnsi="Times New Roman" w:cs="Times New Roman"/>
        </w:rPr>
        <w:t xml:space="preserve"> Chile</w:t>
      </w:r>
      <w:r w:rsidRPr="00AB4E55">
        <w:rPr>
          <w:rFonts w:ascii="Times New Roman" w:eastAsia="Times New Roman" w:hAnsi="Times New Roman" w:cs="Times New Roman"/>
        </w:rPr>
        <w:t xml:space="preserve">, </w:t>
      </w:r>
      <w:r w:rsidRPr="00AB4E55">
        <w:rPr>
          <w:rFonts w:ascii="Times New Roman" w:eastAsia="Times New Roman" w:hAnsi="Times New Roman" w:cs="Times New Roman"/>
          <w:vertAlign w:val="superscript"/>
        </w:rPr>
        <w:t>2</w:t>
      </w:r>
      <w:r w:rsidRPr="00AB4E55">
        <w:rPr>
          <w:rFonts w:ascii="Times New Roman" w:eastAsia="Times New Roman" w:hAnsi="Times New Roman" w:cs="Times New Roman"/>
        </w:rPr>
        <w:t xml:space="preserve">Universidad Mayor, </w:t>
      </w:r>
      <w:r w:rsidRPr="00AB4E55">
        <w:rPr>
          <w:rFonts w:ascii="Times New Roman" w:eastAsia="Times New Roman" w:hAnsi="Times New Roman" w:cs="Times New Roman"/>
          <w:vertAlign w:val="superscript"/>
        </w:rPr>
        <w:t>3</w:t>
      </w:r>
      <w:r w:rsidRPr="00AB4E55">
        <w:rPr>
          <w:rFonts w:ascii="Times New Roman" w:eastAsia="Times New Roman" w:hAnsi="Times New Roman" w:cs="Times New Roman"/>
        </w:rPr>
        <w:t>Universidad de Chile</w:t>
      </w:r>
    </w:p>
    <w:p w:rsidR="007778E4" w:rsidRPr="00AB4E55" w:rsidRDefault="004A7EC5" w:rsidP="00AB4E55">
      <w:pPr>
        <w:spacing w:after="0" w:line="240" w:lineRule="auto"/>
        <w:jc w:val="both"/>
        <w:rPr>
          <w:rFonts w:ascii="Times New Roman" w:hAnsi="Times New Roman" w:cs="Times New Roman"/>
        </w:rPr>
      </w:pPr>
      <w:r w:rsidRPr="00AB4E55">
        <w:rPr>
          <w:rStyle w:val="Textoennegrita"/>
          <w:rFonts w:ascii="Times New Roman" w:hAnsi="Times New Roman" w:cs="Times New Roman"/>
        </w:rPr>
        <w:t>Introducción</w:t>
      </w:r>
    </w:p>
    <w:p w:rsidR="007778E4" w:rsidRPr="00AB4E55" w:rsidRDefault="004A7EC5" w:rsidP="00AB4E55">
      <w:pPr>
        <w:pStyle w:val="NormalWeb"/>
        <w:spacing w:before="0" w:beforeAutospacing="0" w:after="0" w:afterAutospacing="0"/>
        <w:jc w:val="both"/>
        <w:rPr>
          <w:sz w:val="22"/>
          <w:szCs w:val="22"/>
        </w:rPr>
      </w:pPr>
      <w:r w:rsidRPr="00AB4E55">
        <w:rPr>
          <w:sz w:val="22"/>
          <w:szCs w:val="22"/>
        </w:rPr>
        <w:t>La obesidad es considerada un grave problema de salud pública, debido a su alta prevalencia y su repercusión deletérea a nivel sistémico, vinculada al estrés oxidativo y la inflamación hepática y del tejido adiposo visceral. El aceite de rosa mosqueta (RM) posee ácidos grasos omega-3 y alfa y gama tocoferoles con efectos antiinflamatorios y antioxidantes. En ratones se ha demostrado que RM previene la obesidad, la esteatosis hepática, el estrés oxidativo y la inflamación, inducidas por una dieta alta en grasas (DAG).</w:t>
      </w:r>
    </w:p>
    <w:p w:rsidR="007778E4" w:rsidRPr="00AB4E55" w:rsidRDefault="004A7EC5" w:rsidP="00AB4E55">
      <w:pPr>
        <w:pStyle w:val="NormalWeb"/>
        <w:spacing w:before="0" w:beforeAutospacing="0" w:after="0" w:afterAutospacing="0"/>
        <w:jc w:val="both"/>
        <w:rPr>
          <w:sz w:val="22"/>
          <w:szCs w:val="22"/>
        </w:rPr>
      </w:pPr>
      <w:r w:rsidRPr="00AB4E55">
        <w:rPr>
          <w:rStyle w:val="Textoennegrita"/>
          <w:sz w:val="22"/>
          <w:szCs w:val="22"/>
        </w:rPr>
        <w:t>Objetivo</w:t>
      </w:r>
    </w:p>
    <w:p w:rsidR="007778E4" w:rsidRPr="00AB4E55" w:rsidRDefault="004A7EC5" w:rsidP="00AB4E55">
      <w:pPr>
        <w:pStyle w:val="NormalWeb"/>
        <w:spacing w:before="0" w:beforeAutospacing="0" w:after="0" w:afterAutospacing="0"/>
        <w:jc w:val="both"/>
        <w:rPr>
          <w:sz w:val="22"/>
          <w:szCs w:val="22"/>
        </w:rPr>
      </w:pPr>
      <w:r w:rsidRPr="00AB4E55">
        <w:rPr>
          <w:sz w:val="22"/>
          <w:szCs w:val="22"/>
        </w:rPr>
        <w:t>Evaluar si la administración de aceite de RM, carente de tocoferoles, conserva el efecto preventivo sobre las alteraciones metabólicas inducidas por DAG en un modelo murino.</w:t>
      </w:r>
    </w:p>
    <w:p w:rsidR="007778E4" w:rsidRPr="00AB4E55" w:rsidRDefault="004A7EC5" w:rsidP="00AB4E55">
      <w:pPr>
        <w:pStyle w:val="NormalWeb"/>
        <w:spacing w:before="0" w:beforeAutospacing="0" w:after="0" w:afterAutospacing="0"/>
        <w:jc w:val="both"/>
        <w:rPr>
          <w:sz w:val="22"/>
          <w:szCs w:val="22"/>
        </w:rPr>
      </w:pPr>
      <w:r w:rsidRPr="00AB4E55">
        <w:rPr>
          <w:rStyle w:val="Textoennegrita"/>
          <w:sz w:val="22"/>
          <w:szCs w:val="22"/>
        </w:rPr>
        <w:t>Diseño experimental</w:t>
      </w:r>
    </w:p>
    <w:p w:rsidR="007778E4" w:rsidRPr="00AB4E55" w:rsidRDefault="004A7EC5" w:rsidP="00AB4E55">
      <w:pPr>
        <w:pStyle w:val="NormalWeb"/>
        <w:spacing w:before="0" w:beforeAutospacing="0" w:after="0" w:afterAutospacing="0"/>
        <w:jc w:val="both"/>
        <w:rPr>
          <w:sz w:val="22"/>
          <w:szCs w:val="22"/>
        </w:rPr>
      </w:pPr>
      <w:r w:rsidRPr="00AB4E55">
        <w:rPr>
          <w:sz w:val="22"/>
          <w:szCs w:val="22"/>
        </w:rPr>
        <w:t>Ensayo controlado aleatorizado, 36 ratones macho C57 BL/6 J, con peso inicial de 12-14 g., alimentados por 12 semanas con dieta control (DC) o DAG. Se conformaron cuatro grupos experimentales (n= 9/grupo): DC (10% lípidos, 20% proteínas, 70% carbohidratos), DAG (60% lípidos, 20% proteínas, 20% carbohidratos), DAG + RM (0,01 mL/g peso corporal/día), y DAG + RM- sin tocoferoles (0,01 mL/g peso corporal/día).</w:t>
      </w:r>
    </w:p>
    <w:p w:rsidR="007778E4" w:rsidRPr="00AB4E55" w:rsidRDefault="004A7EC5" w:rsidP="00AB4E55">
      <w:pPr>
        <w:pStyle w:val="NormalWeb"/>
        <w:spacing w:before="0" w:beforeAutospacing="0" w:after="0" w:afterAutospacing="0"/>
        <w:jc w:val="both"/>
        <w:rPr>
          <w:sz w:val="22"/>
          <w:szCs w:val="22"/>
        </w:rPr>
      </w:pPr>
      <w:r w:rsidRPr="00AB4E55">
        <w:rPr>
          <w:rStyle w:val="Textoennegrita"/>
          <w:sz w:val="22"/>
          <w:szCs w:val="22"/>
        </w:rPr>
        <w:t>Material y Métodos</w:t>
      </w:r>
    </w:p>
    <w:p w:rsidR="007778E4" w:rsidRPr="00AB4E55" w:rsidRDefault="004A7EC5" w:rsidP="00AB4E55">
      <w:pPr>
        <w:pStyle w:val="NormalWeb"/>
        <w:spacing w:before="0" w:beforeAutospacing="0" w:after="0" w:afterAutospacing="0"/>
        <w:jc w:val="both"/>
        <w:rPr>
          <w:sz w:val="22"/>
          <w:szCs w:val="22"/>
        </w:rPr>
      </w:pPr>
      <w:r w:rsidRPr="00AB4E55">
        <w:rPr>
          <w:sz w:val="22"/>
          <w:szCs w:val="22"/>
        </w:rPr>
        <w:t>Se evaluó: i) esteatosis hepática (histología y contenido de triglicéridos); ii) inflamación en tejido adiposo y hepático (</w:t>
      </w:r>
      <w:proofErr w:type="spellStart"/>
      <w:r w:rsidRPr="00AB4E55">
        <w:rPr>
          <w:sz w:val="22"/>
          <w:szCs w:val="22"/>
        </w:rPr>
        <w:t>inflamosoma</w:t>
      </w:r>
      <w:proofErr w:type="spellEnd"/>
      <w:r w:rsidRPr="00AB4E55">
        <w:rPr>
          <w:sz w:val="22"/>
          <w:szCs w:val="22"/>
        </w:rPr>
        <w:t xml:space="preserve"> NLRP3 y TNF alfa por qPCR, </w:t>
      </w:r>
      <w:proofErr w:type="spellStart"/>
      <w:r w:rsidRPr="00AB4E55">
        <w:rPr>
          <w:sz w:val="22"/>
          <w:szCs w:val="22"/>
        </w:rPr>
        <w:t>inmunohistoquimica</w:t>
      </w:r>
      <w:proofErr w:type="spellEnd"/>
      <w:r w:rsidRPr="00AB4E55">
        <w:rPr>
          <w:sz w:val="22"/>
          <w:szCs w:val="22"/>
        </w:rPr>
        <w:t xml:space="preserve"> de NF kappa B) iii) estrés oxidativo hepático (inmunohistoquímica de Nrf2, proteínas </w:t>
      </w:r>
      <w:proofErr w:type="spellStart"/>
      <w:r w:rsidRPr="00AB4E55">
        <w:rPr>
          <w:sz w:val="22"/>
          <w:szCs w:val="22"/>
        </w:rPr>
        <w:t>carboniladas</w:t>
      </w:r>
      <w:proofErr w:type="spellEnd"/>
      <w:r w:rsidRPr="00AB4E55">
        <w:rPr>
          <w:sz w:val="22"/>
          <w:szCs w:val="22"/>
        </w:rPr>
        <w:t>).</w:t>
      </w:r>
    </w:p>
    <w:p w:rsidR="007778E4" w:rsidRPr="00AB4E55" w:rsidRDefault="004A7EC5" w:rsidP="00AB4E55">
      <w:pPr>
        <w:pStyle w:val="NormalWeb"/>
        <w:spacing w:before="0" w:beforeAutospacing="0" w:after="0" w:afterAutospacing="0"/>
        <w:jc w:val="both"/>
        <w:rPr>
          <w:sz w:val="22"/>
          <w:szCs w:val="22"/>
        </w:rPr>
      </w:pPr>
      <w:r w:rsidRPr="00AB4E55">
        <w:rPr>
          <w:rStyle w:val="Textoennegrita"/>
          <w:sz w:val="22"/>
          <w:szCs w:val="22"/>
        </w:rPr>
        <w:t xml:space="preserve">Resultados </w:t>
      </w:r>
    </w:p>
    <w:p w:rsidR="007778E4" w:rsidRPr="00AB4E55" w:rsidRDefault="004A7EC5" w:rsidP="00AB4E55">
      <w:pPr>
        <w:pStyle w:val="NormalWeb"/>
        <w:spacing w:before="0" w:beforeAutospacing="0" w:after="0" w:afterAutospacing="0"/>
        <w:jc w:val="both"/>
        <w:rPr>
          <w:sz w:val="22"/>
          <w:szCs w:val="22"/>
        </w:rPr>
      </w:pPr>
      <w:r w:rsidRPr="00AB4E55">
        <w:rPr>
          <w:sz w:val="22"/>
          <w:szCs w:val="22"/>
        </w:rPr>
        <w:t xml:space="preserve">La esteatosis hepática, la inflamación y el estrés oxidativo, estuvieron significativamente incrementados (P&lt;0,05, ANOVA </w:t>
      </w:r>
      <w:proofErr w:type="spellStart"/>
      <w:r w:rsidRPr="00AB4E55">
        <w:rPr>
          <w:sz w:val="22"/>
          <w:szCs w:val="22"/>
        </w:rPr>
        <w:t>unifactorial</w:t>
      </w:r>
      <w:proofErr w:type="spellEnd"/>
      <w:r w:rsidRPr="00AB4E55">
        <w:rPr>
          <w:sz w:val="22"/>
          <w:szCs w:val="22"/>
        </w:rPr>
        <w:t>, seguido del test de Bonferroni) en los ratones del grupo DAG+RM- comparado con DAG+RM, sin diferencias entre DAG y DAG+RM-.</w:t>
      </w:r>
    </w:p>
    <w:p w:rsidR="007778E4" w:rsidRPr="00AB4E55" w:rsidRDefault="004A7EC5" w:rsidP="00AB4E55">
      <w:pPr>
        <w:pStyle w:val="NormalWeb"/>
        <w:spacing w:before="0" w:beforeAutospacing="0" w:after="0" w:afterAutospacing="0"/>
        <w:jc w:val="both"/>
        <w:rPr>
          <w:sz w:val="22"/>
          <w:szCs w:val="22"/>
        </w:rPr>
      </w:pPr>
      <w:r w:rsidRPr="00AB4E55">
        <w:rPr>
          <w:rStyle w:val="Textoennegrita"/>
          <w:sz w:val="22"/>
          <w:szCs w:val="22"/>
        </w:rPr>
        <w:t>Conclusiones</w:t>
      </w:r>
    </w:p>
    <w:p w:rsidR="007778E4" w:rsidRPr="00AB4E55" w:rsidRDefault="004A7EC5" w:rsidP="00AB4E55">
      <w:pPr>
        <w:pStyle w:val="NormalWeb"/>
        <w:spacing w:before="0" w:beforeAutospacing="0" w:after="0" w:afterAutospacing="0"/>
        <w:jc w:val="both"/>
        <w:rPr>
          <w:sz w:val="22"/>
          <w:szCs w:val="22"/>
        </w:rPr>
      </w:pPr>
      <w:r w:rsidRPr="00AB4E55">
        <w:rPr>
          <w:sz w:val="22"/>
          <w:szCs w:val="22"/>
        </w:rPr>
        <w:t>El presente estudio sugiere que los tocoferoles presentes en RM participarían de forma predominante en la acción preventiva que demuestra la suplementación alimentaria con RM sobre las alteraciones metabólicas inducidas por una dieta alta en grasa en un modelo murino.</w:t>
      </w:r>
    </w:p>
    <w:p w:rsidR="004A7EC5" w:rsidRPr="00AB4E55" w:rsidRDefault="004A7EC5" w:rsidP="00AB4E55">
      <w:pPr>
        <w:spacing w:after="0" w:line="240" w:lineRule="auto"/>
        <w:jc w:val="both"/>
        <w:rPr>
          <w:rFonts w:ascii="Times New Roman" w:eastAsia="Times New Roman" w:hAnsi="Times New Roman" w:cs="Times New Roman"/>
        </w:rPr>
      </w:pPr>
      <w:r w:rsidRPr="00AB4E55">
        <w:rPr>
          <w:rFonts w:ascii="Times New Roman" w:eastAsia="Times New Roman" w:hAnsi="Times New Roman" w:cs="Times New Roman"/>
          <w:b/>
          <w:bCs/>
        </w:rPr>
        <w:t xml:space="preserve">Financiamiento: </w:t>
      </w:r>
      <w:r w:rsidRPr="00AB4E55">
        <w:rPr>
          <w:rFonts w:ascii="Times New Roman" w:eastAsia="Times New Roman" w:hAnsi="Times New Roman" w:cs="Times New Roman"/>
        </w:rPr>
        <w:t xml:space="preserve">FONDECYT 1140547 </w:t>
      </w:r>
    </w:p>
    <w:sectPr w:rsidR="004A7EC5" w:rsidRPr="00AB4E55" w:rsidSect="007778E4">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163F"/>
    <w:rsid w:val="004A7EC5"/>
    <w:rsid w:val="004E085D"/>
    <w:rsid w:val="007778E4"/>
    <w:rsid w:val="0087651F"/>
    <w:rsid w:val="0097163F"/>
    <w:rsid w:val="00A00692"/>
    <w:rsid w:val="00AB4E55"/>
    <w:rsid w:val="00CD124D"/>
    <w:rsid w:val="00DD496E"/>
    <w:rsid w:val="00E644D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8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78E4"/>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7778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393</Words>
  <Characters>2164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5</cp:revision>
  <dcterms:created xsi:type="dcterms:W3CDTF">2018-07-10T14:24:00Z</dcterms:created>
  <dcterms:modified xsi:type="dcterms:W3CDTF">2018-09-30T04:43:00Z</dcterms:modified>
</cp:coreProperties>
</file>